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i w:val="1"/>
          <w:sz w:val="30"/>
          <w:szCs w:val="30"/>
          <w:u w:val="single"/>
        </w:rPr>
      </w:pPr>
      <w:r w:rsidDel="00000000" w:rsidR="00000000" w:rsidRPr="00000000">
        <w:rPr>
          <w:rtl w:val="0"/>
        </w:rPr>
      </w:r>
    </w:p>
    <w:p w:rsidR="00000000" w:rsidDel="00000000" w:rsidP="00000000" w:rsidRDefault="00000000" w:rsidRPr="00000000" w14:paraId="00000003">
      <w:pPr>
        <w:jc w:val="both"/>
        <w:rPr>
          <w:b w:val="1"/>
          <w:i w:val="1"/>
          <w:sz w:val="30"/>
          <w:szCs w:val="30"/>
          <w:u w:val="single"/>
        </w:rPr>
      </w:pPr>
      <w:r w:rsidDel="00000000" w:rsidR="00000000" w:rsidRPr="00000000">
        <w:rPr>
          <w:b w:val="1"/>
          <w:i w:val="1"/>
          <w:sz w:val="30"/>
          <w:szCs w:val="30"/>
          <w:u w:val="single"/>
          <w:rtl w:val="0"/>
        </w:rPr>
        <w:t xml:space="preserve">SUJET : </w:t>
      </w:r>
      <w:r w:rsidDel="00000000" w:rsidR="00000000" w:rsidRPr="00000000">
        <w:rPr>
          <w:b w:val="1"/>
          <w:i w:val="1"/>
          <w:sz w:val="30"/>
          <w:szCs w:val="30"/>
          <w:u w:val="single"/>
          <w:rtl w:val="0"/>
        </w:rPr>
        <w:t xml:space="preserve">Les inégalités hommes / femmes commencent dès la cour de récré</w:t>
      </w:r>
    </w:p>
    <w:p w:rsidR="00000000" w:rsidDel="00000000" w:rsidP="00000000" w:rsidRDefault="00000000" w:rsidRPr="00000000" w14:paraId="00000004">
      <w:pPr>
        <w:jc w:val="both"/>
        <w:rPr>
          <w:b w:val="1"/>
          <w:i w:val="1"/>
          <w:sz w:val="30"/>
          <w:szCs w:val="30"/>
          <w:u w:val="single"/>
        </w:rPr>
      </w:pPr>
      <w:r w:rsidDel="00000000" w:rsidR="00000000" w:rsidRPr="00000000">
        <w:rPr>
          <w:rtl w:val="0"/>
        </w:rPr>
      </w:r>
    </w:p>
    <w:p w:rsidR="00000000" w:rsidDel="00000000" w:rsidP="00000000" w:rsidRDefault="00000000" w:rsidRPr="00000000" w14:paraId="00000005">
      <w:pPr>
        <w:spacing w:after="240" w:lineRule="auto"/>
        <w:jc w:val="both"/>
        <w:rPr>
          <w:sz w:val="24"/>
          <w:szCs w:val="24"/>
        </w:rPr>
      </w:pPr>
      <w:r w:rsidDel="00000000" w:rsidR="00000000" w:rsidRPr="00000000">
        <w:rPr>
          <w:sz w:val="24"/>
          <w:szCs w:val="24"/>
          <w:rtl w:val="0"/>
        </w:rPr>
        <w:t xml:space="preserve">LEXPRESS</w:t>
      </w:r>
    </w:p>
    <w:p w:rsidR="00000000" w:rsidDel="00000000" w:rsidP="00000000" w:rsidRDefault="00000000" w:rsidRPr="00000000" w14:paraId="00000006">
      <w:pPr>
        <w:spacing w:after="240" w:lineRule="auto"/>
        <w:jc w:val="both"/>
        <w:rPr>
          <w:sz w:val="24"/>
          <w:szCs w:val="24"/>
        </w:rPr>
      </w:pPr>
      <w:r w:rsidDel="00000000" w:rsidR="00000000" w:rsidRPr="00000000">
        <w:rPr>
          <w:sz w:val="24"/>
          <w:szCs w:val="24"/>
          <w:rtl w:val="0"/>
        </w:rPr>
        <w:t xml:space="preserve"> publié le 08/11/2018</w:t>
      </w:r>
    </w:p>
    <w:p w:rsidR="00000000" w:rsidDel="00000000" w:rsidP="00000000" w:rsidRDefault="00000000" w:rsidRPr="00000000" w14:paraId="00000007">
      <w:pPr>
        <w:pStyle w:val="Heading2"/>
        <w:keepNext w:val="0"/>
        <w:keepLines w:val="0"/>
        <w:spacing w:after="80" w:lineRule="auto"/>
        <w:ind w:left="0" w:firstLine="0"/>
        <w:jc w:val="both"/>
        <w:rPr>
          <w:sz w:val="24"/>
          <w:szCs w:val="24"/>
        </w:rPr>
      </w:pPr>
      <w:bookmarkStart w:colFirst="0" w:colLast="0" w:name="_tur9fm2g4za" w:id="0"/>
      <w:bookmarkEnd w:id="0"/>
      <w:r w:rsidDel="00000000" w:rsidR="00000000" w:rsidRPr="00000000">
        <w:rPr>
          <w:sz w:val="24"/>
          <w:szCs w:val="24"/>
          <w:rtl w:val="0"/>
        </w:rPr>
        <w:t xml:space="preserve">Une enquête de l'Unicef, réalisée auprès de 26.000 enfants, pointe de nombreuses inégalités entre garçons et filles. Dès le plus jeune âge, les filles subissent des </w:t>
      </w:r>
      <w:r w:rsidDel="00000000" w:rsidR="00000000" w:rsidRPr="00000000">
        <w:rPr>
          <w:sz w:val="24"/>
          <w:szCs w:val="24"/>
          <w:shd w:fill="cfe2f3" w:val="clear"/>
          <w:rtl w:val="0"/>
        </w:rPr>
        <w:t xml:space="preserve">inégalités</w:t>
      </w:r>
      <w:r w:rsidDel="00000000" w:rsidR="00000000" w:rsidRPr="00000000">
        <w:rPr>
          <w:sz w:val="24"/>
          <w:szCs w:val="24"/>
          <w:rtl w:val="0"/>
        </w:rPr>
        <w:t xml:space="preserve"> et </w:t>
      </w:r>
      <w:r w:rsidDel="00000000" w:rsidR="00000000" w:rsidRPr="00000000">
        <w:rPr>
          <w:sz w:val="24"/>
          <w:szCs w:val="24"/>
          <w:shd w:fill="cfe2f3" w:val="clear"/>
          <w:rtl w:val="0"/>
        </w:rPr>
        <w:t xml:space="preserve">discriminations</w:t>
      </w:r>
      <w:r w:rsidDel="00000000" w:rsidR="00000000" w:rsidRPr="00000000">
        <w:rPr>
          <w:sz w:val="24"/>
          <w:szCs w:val="24"/>
          <w:rtl w:val="0"/>
        </w:rPr>
        <w:t xml:space="preserve">. C'est l'une des nombreuses conclusions d'une nouvelle étude de l'Unicef, rendue publique ce jeudi.   Après avoir posé 165 questions à plus de 26.000 enfants âgés de 6 à 18 ans, les responsables de l'étude ont pu établir que l'inégalité des sexes se met en place très tôt, et que les filles sont plus privées des "lieux de sociabilité amicale et de loisirs" que les garçons.  </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Les auteurs écrivent également que "le fait d'habiter dans un </w:t>
      </w:r>
      <w:r w:rsidDel="00000000" w:rsidR="00000000" w:rsidRPr="00000000">
        <w:rPr>
          <w:sz w:val="24"/>
          <w:szCs w:val="24"/>
          <w:shd w:fill="cfe2f3" w:val="clear"/>
          <w:rtl w:val="0"/>
        </w:rPr>
        <w:t xml:space="preserve">quartier populaire</w:t>
      </w:r>
      <w:r w:rsidDel="00000000" w:rsidR="00000000" w:rsidRPr="00000000">
        <w:rPr>
          <w:sz w:val="24"/>
          <w:szCs w:val="24"/>
          <w:rtl w:val="0"/>
        </w:rPr>
        <w:t xml:space="preserve"> ou prioritaire ou encore d'avoir des parents au chômage a un effet plus fort pour les filles que pour les garçons" en termes d'</w:t>
      </w:r>
      <w:r w:rsidDel="00000000" w:rsidR="00000000" w:rsidRPr="00000000">
        <w:rPr>
          <w:sz w:val="24"/>
          <w:szCs w:val="24"/>
          <w:shd w:fill="cfe2f3" w:val="clear"/>
          <w:rtl w:val="0"/>
        </w:rPr>
        <w:t xml:space="preserve">accès aux savoirs</w:t>
      </w:r>
      <w:r w:rsidDel="00000000" w:rsidR="00000000" w:rsidRPr="00000000">
        <w:rPr>
          <w:sz w:val="24"/>
          <w:szCs w:val="24"/>
          <w:rtl w:val="0"/>
        </w:rPr>
        <w:t xml:space="preserve"> à la santé, ou à des lieux de loisirs.   Les </w:t>
      </w:r>
      <w:r w:rsidDel="00000000" w:rsidR="00000000" w:rsidRPr="00000000">
        <w:rPr>
          <w:sz w:val="24"/>
          <w:szCs w:val="24"/>
          <w:shd w:fill="cfe2f3" w:val="clear"/>
          <w:rtl w:val="0"/>
        </w:rPr>
        <w:t xml:space="preserve">tenues vestimentaires</w:t>
      </w:r>
      <w:r w:rsidDel="00000000" w:rsidR="00000000" w:rsidRPr="00000000">
        <w:rPr>
          <w:sz w:val="24"/>
          <w:szCs w:val="24"/>
          <w:rtl w:val="0"/>
        </w:rPr>
        <w:t xml:space="preserve"> sont aussi au cœur des préoccupations. "Chez les garçons, la première peur c'est d'être traité de fille. Quant aux filles, elles ne jouent pas avec les garçons car elles sont considérées par eux comme disqualifiées, moins bonnes, incapables", résume Edith Maruéjouls, sociologue et géographe, spécialiste du genre et co-auteur de l'étude (avec le sociologue Serge Paugam). Elle estime qu'il faudrait arrêter de construire des espaces et des </w:t>
      </w:r>
      <w:r w:rsidDel="00000000" w:rsidR="00000000" w:rsidRPr="00000000">
        <w:rPr>
          <w:sz w:val="24"/>
          <w:szCs w:val="24"/>
          <w:shd w:fill="cfe2f3" w:val="clear"/>
          <w:rtl w:val="0"/>
        </w:rPr>
        <w:t xml:space="preserve">équipements</w:t>
      </w:r>
      <w:r w:rsidDel="00000000" w:rsidR="00000000" w:rsidRPr="00000000">
        <w:rPr>
          <w:sz w:val="24"/>
          <w:szCs w:val="24"/>
          <w:rtl w:val="0"/>
        </w:rPr>
        <w:t xml:space="preserve"> qui ne créeraient pas de </w:t>
      </w:r>
      <w:r w:rsidDel="00000000" w:rsidR="00000000" w:rsidRPr="00000000">
        <w:rPr>
          <w:sz w:val="24"/>
          <w:szCs w:val="24"/>
          <w:shd w:fill="cfe2f3" w:val="clear"/>
          <w:rtl w:val="0"/>
        </w:rPr>
        <w:t xml:space="preserve">mixité</w:t>
      </w:r>
      <w:r w:rsidDel="00000000" w:rsidR="00000000" w:rsidRPr="00000000">
        <w:rPr>
          <w:sz w:val="24"/>
          <w:szCs w:val="24"/>
          <w:rtl w:val="0"/>
        </w:rPr>
        <w:t xml:space="preserve">.  L'étude note qu'il est attendu des jeunes filles qu'elles aient, contrairement aux garçons, une tenue adéquate, qui correspond à une certaine représentation de la féminité. De plus, les adolescentes craignent d'être jugée sur leurs choix de vêtements, d'être considérées comme une "fille qui cherche ça". De nombreux petits </w:t>
      </w:r>
      <w:r w:rsidDel="00000000" w:rsidR="00000000" w:rsidRPr="00000000">
        <w:rPr>
          <w:sz w:val="24"/>
          <w:szCs w:val="24"/>
          <w:shd w:fill="cfe2f3" w:val="clear"/>
          <w:rtl w:val="0"/>
        </w:rPr>
        <w:t xml:space="preserve">comportements</w:t>
      </w:r>
      <w:r w:rsidDel="00000000" w:rsidR="00000000" w:rsidRPr="00000000">
        <w:rPr>
          <w:sz w:val="24"/>
          <w:szCs w:val="24"/>
          <w:rtl w:val="0"/>
        </w:rPr>
        <w:t xml:space="preserve"> à leur âge imposent des inégalités qui vont se banaliser et s'imposer dans la société. </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On apprend dans l'étude que, si les filles risquent moins que les garçons de subir des moqueries, "elles sont deux fois plus souvent harcelées que les garçons sur internet, dans les transports en commun ou dans l'espace public".   Ce </w:t>
      </w:r>
      <w:r w:rsidDel="00000000" w:rsidR="00000000" w:rsidRPr="00000000">
        <w:rPr>
          <w:sz w:val="24"/>
          <w:szCs w:val="24"/>
          <w:shd w:fill="cfe2f3" w:val="clear"/>
          <w:rtl w:val="0"/>
        </w:rPr>
        <w:t xml:space="preserve">harcèlement</w:t>
      </w:r>
      <w:r w:rsidDel="00000000" w:rsidR="00000000" w:rsidRPr="00000000">
        <w:rPr>
          <w:sz w:val="24"/>
          <w:szCs w:val="24"/>
          <w:rtl w:val="0"/>
        </w:rPr>
        <w:t xml:space="preserve"> vécu au quotidien engendre, selon les auteurs de l'étude, "une relégation réelle des filles auxquelles on signifie que leur place n'est pas au-dehors, en tout cas, qu'elles ne sont pas, pour beaucoup d'entre elles, dans un climat bienveillant."  </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En tout, un enfant sur deux est victime de harcèlement</w:t>
      </w:r>
      <w:hyperlink r:id="rId6">
        <w:r w:rsidDel="00000000" w:rsidR="00000000" w:rsidRPr="00000000">
          <w:rPr>
            <w:sz w:val="24"/>
            <w:szCs w:val="24"/>
            <w:rtl w:val="0"/>
          </w:rPr>
          <w:t xml:space="preserve"> </w:t>
        </w:r>
      </w:hyperlink>
      <w:hyperlink r:id="rId7">
        <w:r w:rsidDel="00000000" w:rsidR="00000000" w:rsidRPr="00000000">
          <w:rPr>
            <w:color w:val="1155cc"/>
            <w:sz w:val="24"/>
            <w:szCs w:val="24"/>
            <w:rtl w:val="0"/>
          </w:rPr>
          <w:t xml:space="preserve">dès l'âge de 7 ans</w:t>
        </w:r>
      </w:hyperlink>
      <w:r w:rsidDel="00000000" w:rsidR="00000000" w:rsidRPr="00000000">
        <w:rPr>
          <w:sz w:val="24"/>
          <w:szCs w:val="24"/>
          <w:rtl w:val="0"/>
        </w:rPr>
        <w:t xml:space="preserve">. Et</w:t>
      </w:r>
      <w:hyperlink r:id="rId8">
        <w:r w:rsidDel="00000000" w:rsidR="00000000" w:rsidRPr="00000000">
          <w:rPr>
            <w:sz w:val="24"/>
            <w:szCs w:val="24"/>
            <w:rtl w:val="0"/>
          </w:rPr>
          <w:t xml:space="preserve"> </w:t>
        </w:r>
      </w:hyperlink>
      <w:hyperlink r:id="rId9">
        <w:r w:rsidDel="00000000" w:rsidR="00000000" w:rsidRPr="00000000">
          <w:rPr>
            <w:color w:val="1155cc"/>
            <w:sz w:val="24"/>
            <w:szCs w:val="24"/>
            <w:rtl w:val="0"/>
          </w:rPr>
          <w:t xml:space="preserve">selon plusieurs enquêtes</w:t>
        </w:r>
      </w:hyperlink>
      <w:r w:rsidDel="00000000" w:rsidR="00000000" w:rsidRPr="00000000">
        <w:rPr>
          <w:sz w:val="24"/>
          <w:szCs w:val="24"/>
          <w:rtl w:val="0"/>
        </w:rPr>
        <w:t xml:space="preserve">, le harcèlement toucherait 10% des élèves de primaire, 6% des collégiens et 1,4% des lycéens. </w:t>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Pr>
        <w:drawing>
          <wp:inline distB="114300" distT="114300" distL="114300" distR="114300">
            <wp:extent cx="5786438" cy="2175044"/>
            <wp:effectExtent b="0" l="0" r="0" t="0"/>
            <wp:docPr id="1" name="image1.png"/>
            <a:graphic>
              <a:graphicData uri="http://schemas.openxmlformats.org/drawingml/2006/picture">
                <pic:pic>
                  <pic:nvPicPr>
                    <pic:cNvPr id="0" name="image1.png"/>
                    <pic:cNvPicPr preferRelativeResize="0"/>
                  </pic:nvPicPr>
                  <pic:blipFill>
                    <a:blip r:embed="rId10"/>
                    <a:srcRect b="43521" l="51661" r="1495" t="25270"/>
                    <a:stretch>
                      <a:fillRect/>
                    </a:stretch>
                  </pic:blipFill>
                  <pic:spPr>
                    <a:xfrm>
                      <a:off x="0" y="0"/>
                      <a:ext cx="5786438" cy="217504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p>
    <w:p w:rsidR="00000000" w:rsidDel="00000000" w:rsidP="00000000" w:rsidRDefault="00000000" w:rsidRPr="00000000" w14:paraId="0000000E">
      <w:pPr>
        <w:jc w:val="both"/>
        <w:rPr>
          <w:b w:val="1"/>
          <w:i w:val="1"/>
          <w:sz w:val="24"/>
          <w:szCs w:val="24"/>
          <w:u w:val="single"/>
          <w:shd w:fill="9fc5e8" w:val="clear"/>
        </w:rPr>
      </w:pPr>
      <w:r w:rsidDel="00000000" w:rsidR="00000000" w:rsidRPr="00000000">
        <w:rPr>
          <w:b w:val="1"/>
          <w:i w:val="1"/>
          <w:sz w:val="24"/>
          <w:szCs w:val="24"/>
          <w:u w:val="single"/>
          <w:shd w:fill="9fc5e8" w:val="clear"/>
          <w:rtl w:val="0"/>
        </w:rPr>
        <w:t xml:space="preserve">Synthèse des informations tirées des documents</w:t>
      </w:r>
    </w:p>
    <w:p w:rsidR="00000000" w:rsidDel="00000000" w:rsidP="00000000" w:rsidRDefault="00000000" w:rsidRPr="00000000" w14:paraId="0000000F">
      <w:pPr>
        <w:pStyle w:val="Heading2"/>
        <w:keepNext w:val="0"/>
        <w:keepLines w:val="0"/>
        <w:numPr>
          <w:ilvl w:val="0"/>
          <w:numId w:val="2"/>
        </w:numPr>
        <w:spacing w:after="0" w:afterAutospacing="0" w:lineRule="auto"/>
        <w:ind w:left="720" w:hanging="360"/>
        <w:jc w:val="both"/>
        <w:rPr>
          <w:sz w:val="24"/>
          <w:szCs w:val="24"/>
        </w:rPr>
      </w:pPr>
      <w:bookmarkStart w:colFirst="0" w:colLast="0" w:name="_q7c0emyi14aq" w:id="1"/>
      <w:bookmarkEnd w:id="1"/>
      <w:r w:rsidDel="00000000" w:rsidR="00000000" w:rsidRPr="00000000">
        <w:rPr>
          <w:sz w:val="24"/>
          <w:szCs w:val="24"/>
          <w:rtl w:val="0"/>
        </w:rPr>
        <w:t xml:space="preserve">Inégalités entre garçons et filles </w:t>
      </w:r>
      <w:r w:rsidDel="00000000" w:rsidR="00000000" w:rsidRPr="00000000">
        <w:rPr>
          <w:sz w:val="24"/>
          <w:szCs w:val="24"/>
          <w:u w:val="single"/>
          <w:rtl w:val="0"/>
        </w:rPr>
        <w:t xml:space="preserve">dès le plus jeune âge</w:t>
      </w:r>
      <w:r w:rsidDel="00000000" w:rsidR="00000000" w:rsidRPr="00000000">
        <w:rPr>
          <w:sz w:val="24"/>
          <w:szCs w:val="24"/>
          <w:rtl w:val="0"/>
        </w:rPr>
        <w:t xml:space="preserve"> : </w:t>
      </w:r>
    </w:p>
    <w:p w:rsidR="00000000" w:rsidDel="00000000" w:rsidP="00000000" w:rsidRDefault="00000000" w:rsidRPr="00000000" w14:paraId="00000010">
      <w:pPr>
        <w:pStyle w:val="Heading2"/>
        <w:keepNext w:val="0"/>
        <w:keepLines w:val="0"/>
        <w:numPr>
          <w:ilvl w:val="1"/>
          <w:numId w:val="2"/>
        </w:numPr>
        <w:spacing w:after="0" w:afterAutospacing="0" w:before="0" w:beforeAutospacing="0" w:lineRule="auto"/>
        <w:ind w:left="1440" w:hanging="360"/>
        <w:jc w:val="both"/>
        <w:rPr>
          <w:sz w:val="24"/>
          <w:szCs w:val="24"/>
        </w:rPr>
      </w:pPr>
      <w:bookmarkStart w:colFirst="0" w:colLast="0" w:name="_5nl1n0ap5r8h" w:id="2"/>
      <w:bookmarkEnd w:id="2"/>
      <w:r w:rsidDel="00000000" w:rsidR="00000000" w:rsidRPr="00000000">
        <w:rPr>
          <w:sz w:val="24"/>
          <w:szCs w:val="24"/>
          <w:rtl w:val="0"/>
        </w:rPr>
        <w:t xml:space="preserve">Les filles sont privées des "lieux de sociabilité amicale et de loisirs"</w:t>
      </w:r>
    </w:p>
    <w:p w:rsidR="00000000" w:rsidDel="00000000" w:rsidP="00000000" w:rsidRDefault="00000000" w:rsidRPr="00000000" w14:paraId="00000011">
      <w:pPr>
        <w:numPr>
          <w:ilvl w:val="1"/>
          <w:numId w:val="2"/>
        </w:numPr>
        <w:ind w:left="1440" w:hanging="360"/>
        <w:jc w:val="both"/>
        <w:rPr>
          <w:sz w:val="24"/>
          <w:szCs w:val="24"/>
        </w:rPr>
      </w:pPr>
      <w:r w:rsidDel="00000000" w:rsidR="00000000" w:rsidRPr="00000000">
        <w:rPr>
          <w:rFonts w:ascii="Arial Unicode MS" w:cs="Arial Unicode MS" w:eastAsia="Arial Unicode MS" w:hAnsi="Arial Unicode MS"/>
          <w:sz w:val="24"/>
          <w:szCs w:val="24"/>
          <w:rtl w:val="0"/>
        </w:rPr>
        <w:t xml:space="preserve">1 enfant sur 2 est harcelé dès 7 ans, 10% en primaire, 6% au collège, 1,4% au lycée → cf graphique pour plus de précisions</w:t>
      </w:r>
      <w:r w:rsidDel="00000000" w:rsidR="00000000" w:rsidRPr="00000000">
        <w:rPr>
          <w:rtl w:val="0"/>
        </w:rPr>
      </w:r>
    </w:p>
    <w:p w:rsidR="00000000" w:rsidDel="00000000" w:rsidP="00000000" w:rsidRDefault="00000000" w:rsidRPr="00000000" w14:paraId="00000012">
      <w:pPr>
        <w:numPr>
          <w:ilvl w:val="0"/>
          <w:numId w:val="2"/>
        </w:numPr>
        <w:ind w:left="720" w:hanging="360"/>
        <w:jc w:val="both"/>
        <w:rPr>
          <w:sz w:val="24"/>
          <w:szCs w:val="24"/>
        </w:rPr>
      </w:pPr>
      <w:r w:rsidDel="00000000" w:rsidR="00000000" w:rsidRPr="00000000">
        <w:rPr>
          <w:sz w:val="24"/>
          <w:szCs w:val="24"/>
          <w:rtl w:val="0"/>
        </w:rPr>
        <w:t xml:space="preserve">Inégalités plus marquées dans les </w:t>
      </w:r>
      <w:r w:rsidDel="00000000" w:rsidR="00000000" w:rsidRPr="00000000">
        <w:rPr>
          <w:sz w:val="24"/>
          <w:szCs w:val="24"/>
          <w:u w:val="single"/>
          <w:rtl w:val="0"/>
        </w:rPr>
        <w:t xml:space="preserve">milieux défavorisés</w:t>
      </w:r>
      <w:r w:rsidDel="00000000" w:rsidR="00000000" w:rsidRPr="00000000">
        <w:rPr>
          <w:sz w:val="24"/>
          <w:szCs w:val="24"/>
          <w:rtl w:val="0"/>
        </w:rPr>
        <w:t xml:space="preserve"> : accès à l’éducation et aux loisirs</w:t>
      </w:r>
    </w:p>
    <w:p w:rsidR="00000000" w:rsidDel="00000000" w:rsidP="00000000" w:rsidRDefault="00000000" w:rsidRPr="00000000" w14:paraId="00000013">
      <w:pPr>
        <w:numPr>
          <w:ilvl w:val="0"/>
          <w:numId w:val="2"/>
        </w:numPr>
        <w:ind w:left="720" w:hanging="360"/>
        <w:jc w:val="both"/>
        <w:rPr>
          <w:sz w:val="24"/>
          <w:szCs w:val="24"/>
        </w:rPr>
      </w:pPr>
      <w:r w:rsidDel="00000000" w:rsidR="00000000" w:rsidRPr="00000000">
        <w:rPr>
          <w:sz w:val="24"/>
          <w:szCs w:val="24"/>
          <w:u w:val="single"/>
          <w:rtl w:val="0"/>
        </w:rPr>
        <w:t xml:space="preserve">Tenues vestimentaires</w:t>
      </w:r>
      <w:r w:rsidDel="00000000" w:rsidR="00000000" w:rsidRPr="00000000">
        <w:rPr>
          <w:sz w:val="24"/>
          <w:szCs w:val="24"/>
          <w:rtl w:val="0"/>
        </w:rPr>
        <w:t xml:space="preserve"> : </w:t>
      </w:r>
    </w:p>
    <w:p w:rsidR="00000000" w:rsidDel="00000000" w:rsidP="00000000" w:rsidRDefault="00000000" w:rsidRPr="00000000" w14:paraId="00000014">
      <w:pPr>
        <w:numPr>
          <w:ilvl w:val="1"/>
          <w:numId w:val="2"/>
        </w:numPr>
        <w:ind w:left="1440" w:hanging="360"/>
        <w:jc w:val="both"/>
        <w:rPr>
          <w:sz w:val="24"/>
          <w:szCs w:val="24"/>
        </w:rPr>
      </w:pPr>
      <w:r w:rsidDel="00000000" w:rsidR="00000000" w:rsidRPr="00000000">
        <w:rPr>
          <w:sz w:val="24"/>
          <w:szCs w:val="24"/>
          <w:rtl w:val="0"/>
        </w:rPr>
        <w:t xml:space="preserve">Les garçons ne veulent pas être “féminisés” car ils ont plus de risque de subir des moqueries</w:t>
      </w:r>
    </w:p>
    <w:p w:rsidR="00000000" w:rsidDel="00000000" w:rsidP="00000000" w:rsidRDefault="00000000" w:rsidRPr="00000000" w14:paraId="00000015">
      <w:pPr>
        <w:numPr>
          <w:ilvl w:val="1"/>
          <w:numId w:val="2"/>
        </w:numPr>
        <w:ind w:left="1440" w:hanging="360"/>
        <w:jc w:val="both"/>
        <w:rPr>
          <w:sz w:val="24"/>
          <w:szCs w:val="24"/>
        </w:rPr>
      </w:pPr>
      <w:r w:rsidDel="00000000" w:rsidR="00000000" w:rsidRPr="00000000">
        <w:rPr>
          <w:sz w:val="24"/>
          <w:szCs w:val="24"/>
          <w:rtl w:val="0"/>
        </w:rPr>
        <w:t xml:space="preserve">Les filles doivent porter une tenue adéquate et ne veulent souvent pas être jugées</w:t>
      </w:r>
    </w:p>
    <w:p w:rsidR="00000000" w:rsidDel="00000000" w:rsidP="00000000" w:rsidRDefault="00000000" w:rsidRPr="00000000" w14:paraId="00000016">
      <w:pPr>
        <w:numPr>
          <w:ilvl w:val="0"/>
          <w:numId w:val="2"/>
        </w:numPr>
        <w:ind w:left="720" w:hanging="360"/>
        <w:jc w:val="both"/>
        <w:rPr>
          <w:sz w:val="24"/>
          <w:szCs w:val="24"/>
        </w:rPr>
      </w:pPr>
      <w:r w:rsidDel="00000000" w:rsidR="00000000" w:rsidRPr="00000000">
        <w:rPr>
          <w:sz w:val="24"/>
          <w:szCs w:val="24"/>
          <w:u w:val="single"/>
          <w:rtl w:val="0"/>
        </w:rPr>
        <w:t xml:space="preserve">Non-mixité des jeux et équipements</w:t>
      </w:r>
      <w:r w:rsidDel="00000000" w:rsidR="00000000" w:rsidRPr="00000000">
        <w:rPr>
          <w:sz w:val="24"/>
          <w:szCs w:val="24"/>
          <w:rtl w:val="0"/>
        </w:rPr>
        <w:t xml:space="preserve"> : les filles sont jugées moins capables pour jouer avec les garçons</w:t>
      </w:r>
    </w:p>
    <w:p w:rsidR="00000000" w:rsidDel="00000000" w:rsidP="00000000" w:rsidRDefault="00000000" w:rsidRPr="00000000" w14:paraId="00000017">
      <w:pPr>
        <w:numPr>
          <w:ilvl w:val="0"/>
          <w:numId w:val="2"/>
        </w:numPr>
        <w:ind w:left="720" w:hanging="360"/>
        <w:jc w:val="both"/>
        <w:rPr>
          <w:sz w:val="24"/>
          <w:szCs w:val="24"/>
        </w:rPr>
      </w:pPr>
      <w:r w:rsidDel="00000000" w:rsidR="00000000" w:rsidRPr="00000000">
        <w:rPr>
          <w:sz w:val="24"/>
          <w:szCs w:val="24"/>
          <w:u w:val="single"/>
          <w:rtl w:val="0"/>
        </w:rPr>
        <w:t xml:space="preserve">Harcèlement</w:t>
      </w:r>
      <w:r w:rsidDel="00000000" w:rsidR="00000000" w:rsidRPr="00000000">
        <w:rPr>
          <w:rFonts w:ascii="Arial Unicode MS" w:cs="Arial Unicode MS" w:eastAsia="Arial Unicode MS" w:hAnsi="Arial Unicode MS"/>
          <w:sz w:val="24"/>
          <w:szCs w:val="24"/>
          <w:rtl w:val="0"/>
        </w:rPr>
        <w:t xml:space="preserve"> : filles 2 fois plus harcelées → climat malveillant à l’extérieur</w:t>
      </w:r>
    </w:p>
    <w:p w:rsidR="00000000" w:rsidDel="00000000" w:rsidP="00000000" w:rsidRDefault="00000000" w:rsidRPr="00000000" w14:paraId="00000018">
      <w:pPr>
        <w:numPr>
          <w:ilvl w:val="0"/>
          <w:numId w:val="2"/>
        </w:numPr>
        <w:ind w:left="720" w:hanging="360"/>
        <w:jc w:val="both"/>
        <w:rPr>
          <w:sz w:val="24"/>
          <w:szCs w:val="24"/>
          <w:u w:val="none"/>
        </w:rPr>
      </w:pPr>
      <w:r w:rsidDel="00000000" w:rsidR="00000000" w:rsidRPr="00000000">
        <w:rPr>
          <w:sz w:val="24"/>
          <w:szCs w:val="24"/>
          <w:u w:val="single"/>
          <w:rtl w:val="0"/>
        </w:rPr>
        <w:t xml:space="preserve">Profils très variables</w:t>
      </w:r>
      <w:r w:rsidDel="00000000" w:rsidR="00000000" w:rsidRPr="00000000">
        <w:rPr>
          <w:sz w:val="24"/>
          <w:szCs w:val="24"/>
          <w:rtl w:val="0"/>
        </w:rPr>
        <w:t xml:space="preserve"> entre les personnes harcelées</w:t>
      </w: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b w:val="1"/>
          <w:i w:val="1"/>
          <w:sz w:val="24"/>
          <w:szCs w:val="24"/>
          <w:u w:val="single"/>
          <w:shd w:fill="9fc5e8" w:val="clear"/>
        </w:rPr>
      </w:pPr>
      <w:r w:rsidDel="00000000" w:rsidR="00000000" w:rsidRPr="00000000">
        <w:rPr>
          <w:b w:val="1"/>
          <w:i w:val="1"/>
          <w:sz w:val="24"/>
          <w:szCs w:val="24"/>
          <w:u w:val="single"/>
          <w:shd w:fill="9fc5e8" w:val="clear"/>
          <w:rtl w:val="0"/>
        </w:rPr>
        <w:t xml:space="preserve">Problématiques à aborder </w:t>
      </w:r>
    </w:p>
    <w:p w:rsidR="00000000" w:rsidDel="00000000" w:rsidP="00000000" w:rsidRDefault="00000000" w:rsidRPr="00000000" w14:paraId="0000001B">
      <w:pPr>
        <w:numPr>
          <w:ilvl w:val="0"/>
          <w:numId w:val="1"/>
        </w:numPr>
        <w:ind w:left="720" w:hanging="360"/>
        <w:jc w:val="both"/>
        <w:rPr>
          <w:sz w:val="24"/>
          <w:szCs w:val="24"/>
        </w:rPr>
      </w:pPr>
      <w:r w:rsidDel="00000000" w:rsidR="00000000" w:rsidRPr="00000000">
        <w:rPr>
          <w:sz w:val="24"/>
          <w:szCs w:val="24"/>
          <w:rtl w:val="0"/>
        </w:rPr>
        <w:t xml:space="preserve">Facteurs qui favorisent les inégalités hommes / femmes</w:t>
      </w:r>
    </w:p>
    <w:p w:rsidR="00000000" w:rsidDel="00000000" w:rsidP="00000000" w:rsidRDefault="00000000" w:rsidRPr="00000000" w14:paraId="0000001C">
      <w:pPr>
        <w:numPr>
          <w:ilvl w:val="0"/>
          <w:numId w:val="1"/>
        </w:numPr>
        <w:ind w:left="720" w:hanging="360"/>
        <w:jc w:val="both"/>
        <w:rPr>
          <w:sz w:val="24"/>
          <w:szCs w:val="24"/>
        </w:rPr>
      </w:pPr>
      <w:r w:rsidDel="00000000" w:rsidR="00000000" w:rsidRPr="00000000">
        <w:rPr>
          <w:sz w:val="24"/>
          <w:szCs w:val="24"/>
          <w:rtl w:val="0"/>
        </w:rPr>
        <w:t xml:space="preserve">Comment le harcèlement scolaire se mêle-t-il aux inégalités ?</w:t>
      </w: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b w:val="1"/>
          <w:i w:val="1"/>
          <w:sz w:val="24"/>
          <w:szCs w:val="24"/>
          <w:u w:val="single"/>
          <w:shd w:fill="9fc5e8" w:val="clear"/>
        </w:rPr>
      </w:pPr>
      <w:r w:rsidDel="00000000" w:rsidR="00000000" w:rsidRPr="00000000">
        <w:rPr>
          <w:b w:val="1"/>
          <w:i w:val="1"/>
          <w:sz w:val="24"/>
          <w:szCs w:val="24"/>
          <w:u w:val="single"/>
          <w:shd w:fill="9fc5e8" w:val="clear"/>
          <w:rtl w:val="0"/>
        </w:rPr>
        <w:t xml:space="preserve">Questions d’ouverture</w:t>
      </w:r>
    </w:p>
    <w:p w:rsidR="00000000" w:rsidDel="00000000" w:rsidP="00000000" w:rsidRDefault="00000000" w:rsidRPr="00000000" w14:paraId="0000001F">
      <w:pPr>
        <w:numPr>
          <w:ilvl w:val="0"/>
          <w:numId w:val="3"/>
        </w:numPr>
        <w:ind w:left="720" w:hanging="360"/>
        <w:jc w:val="both"/>
        <w:rPr>
          <w:sz w:val="24"/>
          <w:szCs w:val="24"/>
        </w:rPr>
      </w:pPr>
      <w:r w:rsidDel="00000000" w:rsidR="00000000" w:rsidRPr="00000000">
        <w:rPr>
          <w:sz w:val="24"/>
          <w:szCs w:val="24"/>
          <w:rtl w:val="0"/>
        </w:rPr>
        <w:t xml:space="preserve">Quelles sont les solutions à mettre en place dans l’éducation pour réduire le harcèlement ?</w:t>
      </w:r>
    </w:p>
    <w:p w:rsidR="00000000" w:rsidDel="00000000" w:rsidP="00000000" w:rsidRDefault="00000000" w:rsidRPr="00000000" w14:paraId="00000020">
      <w:pPr>
        <w:numPr>
          <w:ilvl w:val="0"/>
          <w:numId w:val="3"/>
        </w:numPr>
        <w:ind w:left="720" w:hanging="360"/>
        <w:jc w:val="both"/>
        <w:rPr>
          <w:sz w:val="24"/>
          <w:szCs w:val="24"/>
        </w:rPr>
      </w:pPr>
      <w:r w:rsidDel="00000000" w:rsidR="00000000" w:rsidRPr="00000000">
        <w:rPr>
          <w:sz w:val="24"/>
          <w:szCs w:val="24"/>
          <w:rtl w:val="0"/>
        </w:rPr>
        <w:t xml:space="preserve">Quels équipements mixtes devraient être banalisés pour plus d’égalité ?</w:t>
      </w:r>
    </w:p>
    <w:p w:rsidR="00000000" w:rsidDel="00000000" w:rsidP="00000000" w:rsidRDefault="00000000" w:rsidRPr="00000000" w14:paraId="00000021">
      <w:pPr>
        <w:numPr>
          <w:ilvl w:val="0"/>
          <w:numId w:val="3"/>
        </w:numPr>
        <w:ind w:left="720" w:hanging="360"/>
        <w:jc w:val="both"/>
        <w:rPr>
          <w:sz w:val="24"/>
          <w:szCs w:val="24"/>
          <w:u w:val="none"/>
        </w:rPr>
      </w:pPr>
      <w:r w:rsidDel="00000000" w:rsidR="00000000" w:rsidRPr="00000000">
        <w:rPr>
          <w:sz w:val="24"/>
          <w:szCs w:val="24"/>
          <w:rtl w:val="0"/>
        </w:rPr>
        <w:t xml:space="preserve">Pensez-vous que les tenues vestimentaires doivent être réglementées dans les écoles ?</w:t>
      </w:r>
    </w:p>
    <w:p w:rsidR="00000000" w:rsidDel="00000000" w:rsidP="00000000" w:rsidRDefault="00000000" w:rsidRPr="00000000" w14:paraId="00000022">
      <w:pPr>
        <w:numPr>
          <w:ilvl w:val="0"/>
          <w:numId w:val="3"/>
        </w:numPr>
        <w:ind w:left="720" w:hanging="360"/>
        <w:jc w:val="both"/>
        <w:rPr>
          <w:sz w:val="24"/>
          <w:szCs w:val="24"/>
          <w:u w:val="none"/>
        </w:rPr>
      </w:pPr>
      <w:r w:rsidDel="00000000" w:rsidR="00000000" w:rsidRPr="00000000">
        <w:rPr>
          <w:sz w:val="24"/>
          <w:szCs w:val="24"/>
          <w:rtl w:val="0"/>
        </w:rPr>
        <w:t xml:space="preserve">Renommer le texte</w:t>
      </w:r>
    </w:p>
    <w:p w:rsidR="00000000" w:rsidDel="00000000" w:rsidP="00000000" w:rsidRDefault="00000000" w:rsidRPr="00000000" w14:paraId="00000023">
      <w:pPr>
        <w:numPr>
          <w:ilvl w:val="0"/>
          <w:numId w:val="3"/>
        </w:numPr>
        <w:ind w:left="720" w:hanging="360"/>
        <w:jc w:val="both"/>
        <w:rPr>
          <w:sz w:val="24"/>
          <w:szCs w:val="24"/>
          <w:u w:val="none"/>
        </w:rPr>
      </w:pPr>
      <w:r w:rsidDel="00000000" w:rsidR="00000000" w:rsidRPr="00000000">
        <w:rPr>
          <w:sz w:val="24"/>
          <w:szCs w:val="24"/>
          <w:rtl w:val="0"/>
        </w:rPr>
        <w:t xml:space="preserve">Qu’as - tu pensé du texte ?</w:t>
      </w:r>
    </w:p>
    <w:p w:rsidR="00000000" w:rsidDel="00000000" w:rsidP="00000000" w:rsidRDefault="00000000" w:rsidRPr="00000000" w14:paraId="00000024">
      <w:pPr>
        <w:ind w:left="0" w:firstLine="0"/>
        <w:jc w:val="both"/>
        <w:rPr>
          <w:sz w:val="24"/>
          <w:szCs w:val="24"/>
        </w:rPr>
      </w:pPr>
      <w:r w:rsidDel="00000000" w:rsidR="00000000" w:rsidRPr="00000000">
        <w:rPr>
          <w:rtl w:val="0"/>
        </w:rPr>
      </w:r>
    </w:p>
    <w:sectPr>
      <w:headerReference r:id="rId11" w:type="default"/>
      <w:footerReference r:id="rId12" w:type="default"/>
      <w:pgSz w:h="16834" w:w="11909" w:orient="portrait"/>
      <w:pgMar w:bottom="1440" w:top="1440" w:left="1440" w:right="1440" w:header="1133.858267716535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color w:val="666666"/>
        <w:sz w:val="18"/>
        <w:szCs w:val="18"/>
        <w:rtl w:val="0"/>
      </w:rPr>
      <w:t xml:space="preserve">Toute reproduction, totale ou partielle, et toute représentation du contenu substantiel, par quelque procédé que ce soit, est interdite, et constitue une contrefaçon sanctionnée par les articles L.335-2 et suivants du Code de la propriété intellectuelle.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2880" w:firstLine="720"/>
      <w:jc w:val="right"/>
      <w:rPr/>
    </w:pPr>
    <w:r w:rsidDel="00000000" w:rsidR="00000000" w:rsidRPr="00000000">
      <w:rPr>
        <w:rtl w:val="0"/>
      </w:rPr>
      <w:t xml:space="preserve">Oraux blanc 20-21</w:t>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-605699</wp:posOffset>
          </wp:positionV>
          <wp:extent cx="993904" cy="9763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19597" l="31893" r="33887" t="20487"/>
                  <a:stretch>
                    <a:fillRect/>
                  </a:stretch>
                </pic:blipFill>
                <pic:spPr>
                  <a:xfrm>
                    <a:off x="0" y="0"/>
                    <a:ext cx="993904" cy="976313"/>
                  </a:xfrm>
                  <a:prstGeom prst="rect"/>
                  <a:ln/>
                </pic:spPr>
              </pic:pic>
            </a:graphicData>
          </a:graphic>
        </wp:anchor>
      </w:drawing>
    </w:r>
  </w:p>
  <w:p w:rsidR="00000000" w:rsidDel="00000000" w:rsidP="00000000" w:rsidRDefault="00000000" w:rsidRPr="00000000" w14:paraId="00000026">
    <w:pPr>
      <w:jc w:val="right"/>
      <w:rPr/>
    </w:pPr>
    <w:r w:rsidDel="00000000" w:rsidR="00000000" w:rsidRPr="00000000">
      <w:rPr>
        <w:rtl w:val="0"/>
      </w:rPr>
      <w:t xml:space="preserve">MEM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https://www.lexpress.fr/actualites/1/societe/contre-le-harcelement-a-l-ecole-des-eleves-ambassadeurs-font-le-guet_2046942.html" TargetMode="External"/><Relationship Id="rId5" Type="http://schemas.openxmlformats.org/officeDocument/2006/relationships/styles" Target="styles.xml"/><Relationship Id="rId6" Type="http://schemas.openxmlformats.org/officeDocument/2006/relationships/hyperlink" Target="https://www.lci.fr/famille/harcelement-scolaire-un-enfant-sur-deux-en-est-victime-des-7-ans-selon-les-chiffres-du-rapport-de-l-unicef-2103827.html" TargetMode="External"/><Relationship Id="rId7" Type="http://schemas.openxmlformats.org/officeDocument/2006/relationships/hyperlink" Target="https://www.lci.fr/famille/harcelement-scolaire-un-enfant-sur-deux-en-est-victime-des-7-ans-selon-les-chiffres-du-rapport-de-l-unicef-2103827.html" TargetMode="External"/><Relationship Id="rId8" Type="http://schemas.openxmlformats.org/officeDocument/2006/relationships/hyperlink" Target="https://www.lexpress.fr/actualites/1/societe/contre-le-harcelement-a-l-ecole-des-eleves-ambassadeurs-font-le-guet_204694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